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960" w:rsidRPr="00785960" w:rsidRDefault="00785960" w:rsidP="00785960">
      <w:pPr>
        <w:pStyle w:val="NormalWeb"/>
        <w:rPr>
          <w:sz w:val="28"/>
          <w:szCs w:val="28"/>
        </w:rPr>
      </w:pPr>
      <w:r w:rsidRPr="00785960">
        <w:rPr>
          <w:rFonts w:ascii="Arial" w:hAnsi="Arial" w:cs="Arial"/>
          <w:b/>
          <w:bCs/>
          <w:sz w:val="28"/>
          <w:szCs w:val="28"/>
        </w:rPr>
        <w:t xml:space="preserve">How Physicians and Other Providers Can Promote Program Integrity </w:t>
      </w:r>
    </w:p>
    <w:p w:rsidR="00785960" w:rsidRDefault="00785960" w:rsidP="00785960">
      <w:pPr>
        <w:pStyle w:val="NormalWeb"/>
        <w:rPr>
          <w:color w:val="000000"/>
          <w:sz w:val="21"/>
          <w:szCs w:val="21"/>
        </w:rPr>
      </w:pPr>
      <w:r>
        <w:rPr>
          <w:rFonts w:ascii="TimesNewRomanPSMT" w:hAnsi="TimesNewRomanPSMT"/>
          <w:color w:val="000000"/>
          <w:sz w:val="24"/>
          <w:szCs w:val="24"/>
        </w:rPr>
        <w:t xml:space="preserve">Physicians ordering home health services and DME play an important role in promoting integrity to minimize and prevent fraud, waste, and abuse in Medicaid programs. The following are key points for providers to remember. </w:t>
      </w:r>
    </w:p>
    <w:p w:rsidR="00785960" w:rsidRPr="00785960" w:rsidRDefault="00785960" w:rsidP="00785960">
      <w:pPr>
        <w:numPr>
          <w:ilvl w:val="0"/>
          <w:numId w:val="1"/>
        </w:numPr>
        <w:spacing w:before="100" w:beforeAutospacing="1" w:after="100" w:afterAutospacing="1"/>
        <w:rPr>
          <w:rFonts w:ascii="TimesNewRomanPS" w:eastAsia="Times New Roman" w:hAnsi="TimesNewRomanPS" w:cs="Times New Roman"/>
          <w:bCs/>
          <w:color w:val="000000"/>
          <w:sz w:val="24"/>
          <w:szCs w:val="24"/>
        </w:rPr>
      </w:pPr>
      <w:r w:rsidRPr="00785960">
        <w:rPr>
          <w:rFonts w:ascii="TimesNewRomanPS" w:eastAsia="Times New Roman" w:hAnsi="TimesNewRomanPS" w:cs="Times New Roman"/>
          <w:bCs/>
          <w:color w:val="000000"/>
          <w:sz w:val="24"/>
          <w:szCs w:val="24"/>
        </w:rPr>
        <w:t xml:space="preserve">Confirm eligibility: </w:t>
      </w:r>
      <w:r w:rsidRPr="00785960">
        <w:rPr>
          <w:rFonts w:ascii="TimesNewRomanPSMT" w:eastAsia="Times New Roman" w:hAnsi="TimesNewRomanPSMT" w:cs="Times New Roman"/>
          <w:bCs/>
          <w:color w:val="000000"/>
          <w:sz w:val="24"/>
          <w:szCs w:val="24"/>
        </w:rPr>
        <w:t xml:space="preserve">Verify the Medicaid eligibility status of patients at the time of service. </w:t>
      </w:r>
    </w:p>
    <w:p w:rsidR="00785960" w:rsidRPr="00785960" w:rsidRDefault="00785960" w:rsidP="00785960">
      <w:pPr>
        <w:numPr>
          <w:ilvl w:val="0"/>
          <w:numId w:val="1"/>
        </w:numPr>
        <w:spacing w:before="100" w:beforeAutospacing="1" w:after="100" w:afterAutospacing="1"/>
        <w:rPr>
          <w:rFonts w:ascii="TimesNewRomanPS" w:hAnsi="TimesNewRomanPS"/>
          <w:bCs/>
          <w:color w:val="000000"/>
          <w:sz w:val="24"/>
          <w:szCs w:val="24"/>
        </w:rPr>
      </w:pPr>
      <w:r w:rsidRPr="00785960">
        <w:rPr>
          <w:rFonts w:ascii="TimesNewRomanPS" w:eastAsia="Times New Roman" w:hAnsi="TimesNewRomanPS" w:cs="Times New Roman"/>
          <w:bCs/>
          <w:color w:val="000000"/>
          <w:sz w:val="24"/>
          <w:szCs w:val="24"/>
        </w:rPr>
        <w:t xml:space="preserve">Include identifiers: </w:t>
      </w:r>
      <w:r w:rsidRPr="00785960">
        <w:rPr>
          <w:rFonts w:ascii="TimesNewRomanPSMT" w:eastAsia="Times New Roman" w:hAnsi="TimesNewRomanPSMT" w:cs="Times New Roman"/>
          <w:bCs/>
          <w:color w:val="000000"/>
          <w:sz w:val="24"/>
          <w:szCs w:val="24"/>
        </w:rPr>
        <w:t xml:space="preserve">If required by the State when ordering services or supplies, the ordering provider’s signature </w:t>
      </w:r>
      <w:r w:rsidRPr="00785960">
        <w:rPr>
          <w:rFonts w:ascii="TimesNewRomanPSMT" w:hAnsi="TimesNewRomanPSMT"/>
          <w:bCs/>
          <w:color w:val="000000"/>
          <w:sz w:val="24"/>
          <w:szCs w:val="24"/>
        </w:rPr>
        <w:t xml:space="preserve">and National Provider Identifier (NPI) should be included on the CMN or other prior authorization form.21, 22 </w:t>
      </w:r>
    </w:p>
    <w:p w:rsidR="00785960" w:rsidRPr="00785960" w:rsidRDefault="00785960" w:rsidP="00785960">
      <w:pPr>
        <w:numPr>
          <w:ilvl w:val="0"/>
          <w:numId w:val="1"/>
        </w:numPr>
        <w:spacing w:before="100" w:beforeAutospacing="1" w:after="100" w:afterAutospacing="1"/>
        <w:rPr>
          <w:rFonts w:ascii="TimesNewRomanPS" w:eastAsia="Times New Roman" w:hAnsi="TimesNewRomanPS" w:cs="Times New Roman"/>
          <w:bCs/>
          <w:color w:val="000000"/>
          <w:sz w:val="24"/>
          <w:szCs w:val="24"/>
        </w:rPr>
      </w:pPr>
      <w:r w:rsidRPr="00785960">
        <w:rPr>
          <w:rFonts w:ascii="TimesNewRomanPS" w:eastAsia="Times New Roman" w:hAnsi="TimesNewRomanPS" w:cs="Times New Roman"/>
          <w:bCs/>
          <w:color w:val="000000"/>
          <w:sz w:val="24"/>
          <w:szCs w:val="24"/>
        </w:rPr>
        <w:t xml:space="preserve">Order appropriately: </w:t>
      </w:r>
      <w:r w:rsidRPr="00785960">
        <w:rPr>
          <w:rFonts w:ascii="TimesNewRomanPSMT" w:eastAsia="Times New Roman" w:hAnsi="TimesNewRomanPSMT" w:cs="Times New Roman"/>
          <w:bCs/>
          <w:color w:val="000000"/>
          <w:sz w:val="24"/>
          <w:szCs w:val="24"/>
        </w:rPr>
        <w:t xml:space="preserve">Order according to the medical needs of the beneficiary within the limits set by the State. </w:t>
      </w:r>
    </w:p>
    <w:p w:rsidR="00785960" w:rsidRPr="00785960" w:rsidRDefault="00785960" w:rsidP="00785960">
      <w:pPr>
        <w:numPr>
          <w:ilvl w:val="0"/>
          <w:numId w:val="1"/>
        </w:numPr>
        <w:spacing w:before="100" w:beforeAutospacing="1" w:after="100" w:afterAutospacing="1"/>
        <w:rPr>
          <w:rFonts w:ascii="TimesNewRomanPS" w:eastAsia="Times New Roman" w:hAnsi="TimesNewRomanPS" w:cs="Times New Roman"/>
          <w:bCs/>
          <w:color w:val="000000"/>
          <w:sz w:val="24"/>
          <w:szCs w:val="24"/>
        </w:rPr>
      </w:pPr>
      <w:r w:rsidRPr="00785960">
        <w:rPr>
          <w:rFonts w:ascii="TimesNewRomanPS" w:eastAsia="Times New Roman" w:hAnsi="TimesNewRomanPS" w:cs="Times New Roman"/>
          <w:bCs/>
          <w:color w:val="000000"/>
          <w:sz w:val="24"/>
          <w:szCs w:val="24"/>
        </w:rPr>
        <w:t xml:space="preserve">Maintain organized records: </w:t>
      </w:r>
      <w:r w:rsidRPr="00785960">
        <w:rPr>
          <w:rFonts w:ascii="TimesNewRomanPSMT" w:eastAsia="Times New Roman" w:hAnsi="TimesNewRomanPSMT" w:cs="Times New Roman"/>
          <w:bCs/>
          <w:color w:val="000000"/>
          <w:sz w:val="24"/>
          <w:szCs w:val="24"/>
        </w:rPr>
        <w:t xml:space="preserve">Keep patient records organized and up-to-date, and confirm that the patient’s condition warrants the service requested in the CMN or prior authorization request. </w:t>
      </w:r>
    </w:p>
    <w:p w:rsidR="00785960" w:rsidRPr="00785960" w:rsidRDefault="00785960" w:rsidP="00785960">
      <w:pPr>
        <w:numPr>
          <w:ilvl w:val="0"/>
          <w:numId w:val="1"/>
        </w:numPr>
        <w:spacing w:before="100" w:beforeAutospacing="1" w:after="100" w:afterAutospacing="1"/>
        <w:rPr>
          <w:rFonts w:ascii="TimesNewRomanPS" w:eastAsia="Times New Roman" w:hAnsi="TimesNewRomanPS" w:cs="Times New Roman"/>
          <w:bCs/>
          <w:color w:val="000000"/>
          <w:sz w:val="24"/>
          <w:szCs w:val="24"/>
        </w:rPr>
      </w:pPr>
      <w:r w:rsidRPr="00785960">
        <w:rPr>
          <w:rFonts w:ascii="TimesNewRomanPS" w:eastAsia="Times New Roman" w:hAnsi="TimesNewRomanPS" w:cs="Times New Roman"/>
          <w:bCs/>
          <w:color w:val="000000"/>
          <w:sz w:val="24"/>
          <w:szCs w:val="24"/>
        </w:rPr>
        <w:t xml:space="preserve">Educate staff: </w:t>
      </w:r>
      <w:r w:rsidRPr="00785960">
        <w:rPr>
          <w:rFonts w:ascii="TimesNewRomanPSMT" w:eastAsia="Times New Roman" w:hAnsi="TimesNewRomanPSMT" w:cs="Times New Roman"/>
          <w:bCs/>
          <w:color w:val="000000"/>
          <w:sz w:val="24"/>
          <w:szCs w:val="24"/>
        </w:rPr>
        <w:t xml:space="preserve">Providers should educate </w:t>
      </w:r>
      <w:proofErr w:type="gramStart"/>
      <w:r w:rsidRPr="00785960">
        <w:rPr>
          <w:rFonts w:ascii="TimesNewRomanPSMT" w:eastAsia="Times New Roman" w:hAnsi="TimesNewRomanPSMT" w:cs="Times New Roman"/>
          <w:bCs/>
          <w:color w:val="000000"/>
          <w:sz w:val="24"/>
          <w:szCs w:val="24"/>
        </w:rPr>
        <w:t>staff on the issues and schemes that constitute</w:t>
      </w:r>
      <w:proofErr w:type="gramEnd"/>
      <w:r w:rsidRPr="00785960">
        <w:rPr>
          <w:rFonts w:ascii="TimesNewRomanPSMT" w:eastAsia="Times New Roman" w:hAnsi="TimesNewRomanPSMT" w:cs="Times New Roman"/>
          <w:bCs/>
          <w:color w:val="000000"/>
          <w:sz w:val="24"/>
          <w:szCs w:val="24"/>
        </w:rPr>
        <w:t xml:space="preserve"> fraud, waste, and abuse. </w:t>
      </w:r>
    </w:p>
    <w:p w:rsidR="00785960" w:rsidRPr="00785960" w:rsidRDefault="00785960" w:rsidP="00785960">
      <w:pPr>
        <w:numPr>
          <w:ilvl w:val="0"/>
          <w:numId w:val="1"/>
        </w:numPr>
        <w:spacing w:before="100" w:beforeAutospacing="1" w:after="100" w:afterAutospacing="1"/>
        <w:rPr>
          <w:rFonts w:ascii="TimesNewRomanPS" w:eastAsia="Times New Roman" w:hAnsi="TimesNewRomanPS" w:cs="Times New Roman"/>
          <w:bCs/>
          <w:color w:val="000000"/>
          <w:sz w:val="24"/>
          <w:szCs w:val="24"/>
        </w:rPr>
      </w:pPr>
      <w:r w:rsidRPr="00785960">
        <w:rPr>
          <w:rFonts w:ascii="TimesNewRomanPS" w:eastAsia="Times New Roman" w:hAnsi="TimesNewRomanPS" w:cs="Times New Roman"/>
          <w:bCs/>
          <w:color w:val="000000"/>
          <w:sz w:val="24"/>
          <w:szCs w:val="24"/>
        </w:rPr>
        <w:t xml:space="preserve">Practice within scope: </w:t>
      </w:r>
      <w:r w:rsidRPr="00785960">
        <w:rPr>
          <w:rFonts w:ascii="TimesNewRomanPSMT" w:eastAsia="Times New Roman" w:hAnsi="TimesNewRomanPSMT" w:cs="Times New Roman"/>
          <w:bCs/>
          <w:color w:val="000000"/>
          <w:sz w:val="24"/>
          <w:szCs w:val="24"/>
        </w:rPr>
        <w:t xml:space="preserve">Always document the medical necessity of the service(s) ordered. If a medically- unnecessary service is billed or if the documentation does not justify medical necessity, it may be considered a “false claim.” </w:t>
      </w:r>
    </w:p>
    <w:p w:rsidR="00785960" w:rsidRPr="00785960" w:rsidRDefault="00785960" w:rsidP="00785960">
      <w:pPr>
        <w:numPr>
          <w:ilvl w:val="0"/>
          <w:numId w:val="1"/>
        </w:numPr>
        <w:spacing w:before="100" w:beforeAutospacing="1" w:after="100" w:afterAutospacing="1"/>
        <w:rPr>
          <w:rFonts w:ascii="TimesNewRomanPS" w:eastAsia="Times New Roman" w:hAnsi="TimesNewRomanPS" w:cs="Times New Roman"/>
          <w:bCs/>
          <w:color w:val="000000"/>
          <w:sz w:val="24"/>
          <w:szCs w:val="24"/>
        </w:rPr>
      </w:pPr>
      <w:r w:rsidRPr="00785960">
        <w:rPr>
          <w:rFonts w:ascii="TimesNewRomanPS" w:eastAsia="Times New Roman" w:hAnsi="TimesNewRomanPS" w:cs="Times New Roman"/>
          <w:bCs/>
          <w:color w:val="000000"/>
          <w:sz w:val="24"/>
          <w:szCs w:val="24"/>
        </w:rPr>
        <w:t xml:space="preserve">Protect yourself: </w:t>
      </w:r>
      <w:r w:rsidRPr="00785960">
        <w:rPr>
          <w:rFonts w:ascii="TimesNewRomanPSMT" w:eastAsia="Times New Roman" w:hAnsi="TimesNewRomanPSMT" w:cs="Times New Roman"/>
          <w:bCs/>
          <w:color w:val="000000"/>
          <w:sz w:val="24"/>
          <w:szCs w:val="24"/>
        </w:rPr>
        <w:t xml:space="preserve">Be on the alert for other professionals who may make inappropriate requests, such as a “quick signature” on a document for a patient never seen, asking for additional patient services because of convenience rather than medical necessity (e.g., ambulance transportation instead of a </w:t>
      </w:r>
      <w:proofErr w:type="spellStart"/>
      <w:r w:rsidRPr="00785960">
        <w:rPr>
          <w:rFonts w:ascii="TimesNewRomanPSMT" w:eastAsia="Times New Roman" w:hAnsi="TimesNewRomanPSMT" w:cs="Times New Roman"/>
          <w:bCs/>
          <w:color w:val="000000"/>
          <w:sz w:val="24"/>
          <w:szCs w:val="24"/>
        </w:rPr>
        <w:t>medivan</w:t>
      </w:r>
      <w:proofErr w:type="spellEnd"/>
      <w:r w:rsidRPr="00785960">
        <w:rPr>
          <w:rFonts w:ascii="TimesNewRomanPSMT" w:eastAsia="Times New Roman" w:hAnsi="TimesNewRomanPSMT" w:cs="Times New Roman"/>
          <w:bCs/>
          <w:color w:val="000000"/>
          <w:sz w:val="24"/>
          <w:szCs w:val="24"/>
        </w:rPr>
        <w:t xml:space="preserve">), asking for beneficiary medical identifiers when there is no specific need, or offering to provide remuneration for beneficiary referrals. </w:t>
      </w:r>
    </w:p>
    <w:p w:rsidR="00785960" w:rsidRPr="00785960" w:rsidRDefault="00785960" w:rsidP="00785960">
      <w:pPr>
        <w:pStyle w:val="NormalWeb"/>
        <w:rPr>
          <w:rFonts w:ascii="TimesNewRomanPS" w:hAnsi="TimesNewRomanPS"/>
          <w:b/>
          <w:bCs/>
          <w:sz w:val="28"/>
          <w:szCs w:val="28"/>
        </w:rPr>
      </w:pPr>
      <w:r w:rsidRPr="00785960">
        <w:rPr>
          <w:rFonts w:ascii="Arial" w:hAnsi="Arial" w:cs="Arial"/>
          <w:b/>
          <w:bCs/>
          <w:sz w:val="28"/>
          <w:szCs w:val="28"/>
        </w:rPr>
        <w:t xml:space="preserve">References </w:t>
      </w:r>
    </w:p>
    <w:p w:rsidR="00785960" w:rsidRPr="00785960" w:rsidRDefault="00785960" w:rsidP="00785960">
      <w:pPr>
        <w:pStyle w:val="NormalWeb"/>
        <w:rPr>
          <w:rFonts w:ascii="TimesNewRomanPS" w:hAnsi="TimesNewRomanPS"/>
          <w:bCs/>
          <w:sz w:val="24"/>
          <w:szCs w:val="24"/>
        </w:rPr>
      </w:pPr>
      <w:proofErr w:type="gramStart"/>
      <w:r w:rsidRPr="00785960">
        <w:rPr>
          <w:rFonts w:ascii="TimesNewRomanPSMT" w:hAnsi="TimesNewRomanPSMT"/>
          <w:bCs/>
          <w:sz w:val="24"/>
          <w:szCs w:val="24"/>
        </w:rPr>
        <w:t>U.S. Department of Health &amp; Human Services.</w:t>
      </w:r>
      <w:proofErr w:type="gramEnd"/>
      <w:r w:rsidRPr="00785960">
        <w:rPr>
          <w:rFonts w:ascii="TimesNewRomanPSMT" w:hAnsi="TimesNewRomanPSMT"/>
          <w:bCs/>
          <w:sz w:val="24"/>
          <w:szCs w:val="24"/>
        </w:rPr>
        <w:t xml:space="preserve"> (May 20, 2009). “Attorney General Holder and HHS Secretary </w:t>
      </w:r>
      <w:proofErr w:type="spellStart"/>
      <w:r w:rsidRPr="00785960">
        <w:rPr>
          <w:rFonts w:ascii="TimesNewRomanPSMT" w:hAnsi="TimesNewRomanPSMT"/>
          <w:bCs/>
          <w:sz w:val="24"/>
          <w:szCs w:val="24"/>
        </w:rPr>
        <w:t>Sebelius</w:t>
      </w:r>
      <w:proofErr w:type="spellEnd"/>
      <w:r w:rsidRPr="00785960">
        <w:rPr>
          <w:rFonts w:ascii="TimesNewRomanPSMT" w:hAnsi="TimesNewRomanPSMT"/>
          <w:bCs/>
          <w:sz w:val="24"/>
          <w:szCs w:val="24"/>
        </w:rPr>
        <w:t xml:space="preserve"> Announce New Interagency Health Care Fraud Prevention and Enforcement Action Team.” Retrieved August 25, 2010, from </w:t>
      </w:r>
      <w:hyperlink r:id="rId5" w:history="1">
        <w:r w:rsidRPr="00785960">
          <w:rPr>
            <w:rStyle w:val="Hyperlink"/>
            <w:rFonts w:ascii="TimesNewRomanPSMT" w:hAnsi="TimesNewRomanPSMT"/>
            <w:bCs/>
            <w:color w:val="auto"/>
            <w:sz w:val="24"/>
            <w:szCs w:val="24"/>
          </w:rPr>
          <w:t>http://www.hhs.gov/news/press/2009pres/05/20090520a.html</w:t>
        </w:r>
      </w:hyperlink>
      <w:r w:rsidRPr="00785960">
        <w:rPr>
          <w:rFonts w:ascii="TimesNewRomanPSMT" w:hAnsi="TimesNewRomanPSMT"/>
          <w:bCs/>
          <w:sz w:val="24"/>
          <w:szCs w:val="24"/>
        </w:rPr>
        <w:t xml:space="preserve"> </w:t>
      </w:r>
    </w:p>
    <w:p w:rsidR="00785960" w:rsidRPr="00785960" w:rsidRDefault="00785960" w:rsidP="00785960">
      <w:pPr>
        <w:pStyle w:val="NormalWeb"/>
        <w:rPr>
          <w:rFonts w:ascii="TimesNewRomanPS" w:hAnsi="TimesNewRomanPS"/>
          <w:bCs/>
          <w:sz w:val="24"/>
          <w:szCs w:val="24"/>
        </w:rPr>
      </w:pPr>
      <w:proofErr w:type="gramStart"/>
      <w:r w:rsidRPr="00785960">
        <w:rPr>
          <w:rFonts w:ascii="TimesNewRomanPSMT" w:hAnsi="TimesNewRomanPSMT"/>
          <w:bCs/>
          <w:sz w:val="24"/>
          <w:szCs w:val="24"/>
        </w:rPr>
        <w:t>Government Accountability Office.</w:t>
      </w:r>
      <w:proofErr w:type="gramEnd"/>
      <w:r w:rsidRPr="00785960">
        <w:rPr>
          <w:rFonts w:ascii="TimesNewRomanPSMT" w:hAnsi="TimesNewRomanPSMT"/>
          <w:bCs/>
          <w:sz w:val="24"/>
          <w:szCs w:val="24"/>
        </w:rPr>
        <w:t xml:space="preserve"> (March 9, 2011). Medicare and Medicaid Fraud, Waste, and Abuse, Effective Implementation of Recent Laws and Agency Actions Could Help Reduce Improper Payments. </w:t>
      </w:r>
      <w:proofErr w:type="gramStart"/>
      <w:r w:rsidRPr="00785960">
        <w:rPr>
          <w:rFonts w:ascii="TimesNewRomanPSMT" w:hAnsi="TimesNewRomanPSMT"/>
          <w:bCs/>
          <w:sz w:val="24"/>
          <w:szCs w:val="24"/>
        </w:rPr>
        <w:t>Statement of Kathleen M. King Director, Health Care.</w:t>
      </w:r>
      <w:proofErr w:type="gramEnd"/>
      <w:r w:rsidRPr="00785960">
        <w:rPr>
          <w:rFonts w:ascii="TimesNewRomanPSMT" w:hAnsi="TimesNewRomanPSMT"/>
          <w:bCs/>
          <w:sz w:val="24"/>
          <w:szCs w:val="24"/>
        </w:rPr>
        <w:t xml:space="preserve"> Retrieved July 9, 2012, from </w:t>
      </w:r>
      <w:hyperlink r:id="rId6" w:history="1">
        <w:r w:rsidRPr="00785960">
          <w:rPr>
            <w:rStyle w:val="Hyperlink"/>
            <w:rFonts w:ascii="TimesNewRomanPSMT" w:hAnsi="TimesNewRomanPSMT"/>
            <w:bCs/>
            <w:color w:val="auto"/>
            <w:sz w:val="24"/>
            <w:szCs w:val="24"/>
          </w:rPr>
          <w:t>http://www.gao.gov/assets/130/125646.pdf</w:t>
        </w:r>
      </w:hyperlink>
      <w:r w:rsidRPr="00785960">
        <w:rPr>
          <w:rFonts w:ascii="TimesNewRomanPSMT" w:hAnsi="TimesNewRomanPSMT"/>
          <w:bCs/>
          <w:sz w:val="24"/>
          <w:szCs w:val="24"/>
        </w:rPr>
        <w:t xml:space="preserve"> </w:t>
      </w:r>
    </w:p>
    <w:p w:rsidR="00785960" w:rsidRPr="00171FEE" w:rsidRDefault="00785960" w:rsidP="00785960">
      <w:pPr>
        <w:pStyle w:val="NoSpacing"/>
        <w:rPr>
          <w:rFonts w:ascii="Times New Roman" w:hAnsi="Times New Roman" w:cs="Times New Roman"/>
          <w:sz w:val="24"/>
          <w:szCs w:val="24"/>
        </w:rPr>
      </w:pPr>
      <w:r w:rsidRPr="00171FEE">
        <w:rPr>
          <w:rFonts w:ascii="Times New Roman" w:hAnsi="Times New Roman" w:cs="Times New Roman"/>
          <w:sz w:val="24"/>
          <w:szCs w:val="24"/>
        </w:rPr>
        <w:t>SocialSecurityAct</w:t>
      </w:r>
      <w:proofErr w:type="gramStart"/>
      <w:r w:rsidRPr="00171FEE">
        <w:rPr>
          <w:rFonts w:ascii="Times New Roman" w:hAnsi="Times New Roman" w:cs="Times New Roman"/>
          <w:sz w:val="24"/>
          <w:szCs w:val="24"/>
        </w:rPr>
        <w:t>,§</w:t>
      </w:r>
      <w:proofErr w:type="gramEnd"/>
      <w:r w:rsidRPr="00171FEE">
        <w:rPr>
          <w:rFonts w:ascii="Times New Roman" w:hAnsi="Times New Roman" w:cs="Times New Roman"/>
          <w:sz w:val="24"/>
          <w:szCs w:val="24"/>
        </w:rPr>
        <w:t>1902(a)(10)(D).StatePlansforMedicalAssistance.RetrievedAugust6,2012 from</w:t>
      </w:r>
    </w:p>
    <w:p w:rsidR="00785960" w:rsidRPr="00171FEE" w:rsidRDefault="00785960" w:rsidP="00785960">
      <w:pPr>
        <w:pStyle w:val="NoSpacing"/>
        <w:rPr>
          <w:rFonts w:ascii="Times New Roman" w:hAnsi="Times New Roman" w:cs="Times New Roman"/>
          <w:b/>
          <w:bCs/>
          <w:sz w:val="24"/>
          <w:szCs w:val="24"/>
        </w:rPr>
      </w:pPr>
      <w:hyperlink r:id="rId7" w:history="1">
        <w:r w:rsidRPr="00171FEE">
          <w:rPr>
            <w:rStyle w:val="Hyperlink"/>
            <w:rFonts w:ascii="Times New Roman" w:hAnsi="Times New Roman" w:cs="Times New Roman"/>
            <w:bCs/>
            <w:color w:val="auto"/>
            <w:sz w:val="24"/>
            <w:szCs w:val="24"/>
          </w:rPr>
          <w:t>http://www.socialsecurity.gov/OP_Home/ssact/title19/1902.htm</w:t>
        </w:r>
      </w:hyperlink>
      <w:r w:rsidRPr="00171FEE">
        <w:rPr>
          <w:rFonts w:ascii="Times New Roman" w:hAnsi="Times New Roman" w:cs="Times New Roman"/>
          <w:b/>
          <w:bCs/>
          <w:sz w:val="24"/>
          <w:szCs w:val="24"/>
        </w:rPr>
        <w:t xml:space="preserve"> </w:t>
      </w:r>
    </w:p>
    <w:p w:rsidR="00171FEE" w:rsidRDefault="00171FEE" w:rsidP="00785960">
      <w:pPr>
        <w:pStyle w:val="NormalWeb"/>
        <w:rPr>
          <w:rFonts w:ascii="TimesNewRomanPSMT" w:hAnsi="TimesNewRomanPSMT"/>
          <w:bCs/>
          <w:sz w:val="24"/>
          <w:szCs w:val="24"/>
        </w:rPr>
      </w:pPr>
    </w:p>
    <w:p w:rsidR="00171FEE" w:rsidRPr="00171FEE" w:rsidRDefault="00171FEE" w:rsidP="00171FEE">
      <w:pPr>
        <w:pStyle w:val="NormalWeb"/>
        <w:rPr>
          <w:sz w:val="21"/>
          <w:szCs w:val="21"/>
        </w:rPr>
      </w:pPr>
      <w:proofErr w:type="gramStart"/>
      <w:r w:rsidRPr="00171FEE">
        <w:rPr>
          <w:rFonts w:ascii="Arial" w:hAnsi="Arial" w:cs="Arial"/>
          <w:b/>
          <w:bCs/>
          <w:sz w:val="32"/>
          <w:szCs w:val="32"/>
        </w:rPr>
        <w:lastRenderedPageBreak/>
        <w:t>References (cont.)</w:t>
      </w:r>
      <w:proofErr w:type="gramEnd"/>
      <w:r w:rsidRPr="00171FEE">
        <w:rPr>
          <w:rFonts w:ascii="Arial" w:hAnsi="Arial" w:cs="Arial"/>
          <w:b/>
          <w:bCs/>
          <w:sz w:val="32"/>
          <w:szCs w:val="32"/>
        </w:rPr>
        <w:t xml:space="preserve"> </w:t>
      </w:r>
    </w:p>
    <w:p w:rsidR="00785960" w:rsidRPr="00785960" w:rsidRDefault="00785960" w:rsidP="00785960">
      <w:pPr>
        <w:pStyle w:val="NormalWeb"/>
        <w:rPr>
          <w:rFonts w:ascii="TimesNewRomanPSMT" w:hAnsi="TimesNewRomanPSMT"/>
          <w:bCs/>
          <w:sz w:val="24"/>
          <w:szCs w:val="24"/>
        </w:rPr>
      </w:pPr>
      <w:r w:rsidRPr="00785960">
        <w:rPr>
          <w:rFonts w:ascii="TimesNewRomanPSMT" w:hAnsi="TimesNewRomanPSMT"/>
          <w:bCs/>
          <w:sz w:val="24"/>
          <w:szCs w:val="24"/>
        </w:rPr>
        <w:t>SocialSecurityAct</w:t>
      </w:r>
      <w:proofErr w:type="gramStart"/>
      <w:r w:rsidRPr="00785960">
        <w:rPr>
          <w:rFonts w:ascii="TimesNewRomanPSMT" w:hAnsi="TimesNewRomanPSMT"/>
          <w:bCs/>
          <w:sz w:val="24"/>
          <w:szCs w:val="24"/>
        </w:rPr>
        <w:t>,§</w:t>
      </w:r>
      <w:proofErr w:type="gramEnd"/>
      <w:r w:rsidRPr="00785960">
        <w:rPr>
          <w:rFonts w:ascii="TimesNewRomanPSMT" w:hAnsi="TimesNewRomanPSMT"/>
          <w:bCs/>
          <w:sz w:val="24"/>
          <w:szCs w:val="24"/>
        </w:rPr>
        <w:t xml:space="preserve">1915(c).ProvisionsRespectingInapplicabilityandWaiverofCertainRequirementsofThis Title. Retrieved July 6, 2012, from </w:t>
      </w:r>
      <w:hyperlink r:id="rId8" w:history="1">
        <w:r w:rsidRPr="00785960">
          <w:rPr>
            <w:rStyle w:val="Hyperlink"/>
            <w:rFonts w:ascii="TimesNewRomanPSMT" w:hAnsi="TimesNewRomanPSMT"/>
            <w:bCs/>
            <w:color w:val="auto"/>
            <w:sz w:val="24"/>
            <w:szCs w:val="24"/>
          </w:rPr>
          <w:t>http://www.ssa.gov/OP_Home/ssact/title19/1915.htm</w:t>
        </w:r>
      </w:hyperlink>
    </w:p>
    <w:p w:rsidR="00785960" w:rsidRPr="00785960" w:rsidRDefault="00785960" w:rsidP="00785960">
      <w:pPr>
        <w:pStyle w:val="NormalWeb"/>
        <w:rPr>
          <w:rFonts w:ascii="TimesNewRomanPS" w:hAnsi="TimesNewRomanPS"/>
          <w:bCs/>
          <w:sz w:val="24"/>
          <w:szCs w:val="24"/>
        </w:rPr>
      </w:pPr>
      <w:r w:rsidRPr="00785960">
        <w:rPr>
          <w:rFonts w:ascii="TimesNewRomanPSMT" w:hAnsi="TimesNewRomanPSMT"/>
          <w:bCs/>
          <w:sz w:val="24"/>
          <w:szCs w:val="24"/>
        </w:rPr>
        <w:t>CodeofFederalRegulations</w:t>
      </w:r>
      <w:proofErr w:type="gramStart"/>
      <w:r w:rsidRPr="00785960">
        <w:rPr>
          <w:rFonts w:ascii="TimesNewRomanPSMT" w:hAnsi="TimesNewRomanPSMT"/>
          <w:bCs/>
          <w:sz w:val="24"/>
          <w:szCs w:val="24"/>
        </w:rPr>
        <w:t>,42C.F.R</w:t>
      </w:r>
      <w:proofErr w:type="gramEnd"/>
      <w:r w:rsidRPr="00785960">
        <w:rPr>
          <w:rFonts w:ascii="TimesNewRomanPSMT" w:hAnsi="TimesNewRomanPSMT"/>
          <w:bCs/>
          <w:sz w:val="24"/>
          <w:szCs w:val="24"/>
        </w:rPr>
        <w:t xml:space="preserve">.§440.230(2)(b)(d).Sufficiencyofamount,duration,andscope.Retrieved April 10, 2012, from </w:t>
      </w:r>
      <w:hyperlink r:id="rId9" w:history="1">
        <w:r w:rsidRPr="00785960">
          <w:rPr>
            <w:rStyle w:val="Hyperlink"/>
            <w:rFonts w:ascii="TimesNewRomanPSMT" w:hAnsi="TimesNewRomanPSMT"/>
            <w:bCs/>
            <w:color w:val="auto"/>
            <w:sz w:val="24"/>
            <w:szCs w:val="24"/>
          </w:rPr>
          <w:t>http://www.ecfr.gov/cgi-bin/retrieveECFR?gp=1&amp;SID=b44b980140f072ed701a782d89fddcf6</w:t>
        </w:r>
      </w:hyperlink>
      <w:r w:rsidRPr="00785960">
        <w:rPr>
          <w:rFonts w:ascii="TimesNewRomanPSMT" w:hAnsi="TimesNewRomanPSMT"/>
          <w:bCs/>
          <w:sz w:val="24"/>
          <w:szCs w:val="24"/>
        </w:rPr>
        <w:t xml:space="preserve"> &amp;</w:t>
      </w:r>
      <w:proofErr w:type="spellStart"/>
      <w:r w:rsidRPr="00785960">
        <w:rPr>
          <w:rFonts w:ascii="TimesNewRomanPSMT" w:hAnsi="TimesNewRomanPSMT"/>
          <w:bCs/>
          <w:sz w:val="24"/>
          <w:szCs w:val="24"/>
        </w:rPr>
        <w:t>ty</w:t>
      </w:r>
      <w:proofErr w:type="spellEnd"/>
      <w:r w:rsidRPr="00785960">
        <w:rPr>
          <w:rFonts w:ascii="TimesNewRomanPSMT" w:hAnsi="TimesNewRomanPSMT"/>
          <w:bCs/>
          <w:sz w:val="24"/>
          <w:szCs w:val="24"/>
        </w:rPr>
        <w:t>=</w:t>
      </w:r>
      <w:proofErr w:type="spellStart"/>
      <w:r w:rsidRPr="00785960">
        <w:rPr>
          <w:rFonts w:ascii="TimesNewRomanPSMT" w:hAnsi="TimesNewRomanPSMT"/>
          <w:bCs/>
          <w:sz w:val="24"/>
          <w:szCs w:val="24"/>
        </w:rPr>
        <w:t>HTML&amp;h</w:t>
      </w:r>
      <w:proofErr w:type="spellEnd"/>
      <w:r w:rsidRPr="00785960">
        <w:rPr>
          <w:rFonts w:ascii="TimesNewRomanPSMT" w:hAnsi="TimesNewRomanPSMT"/>
          <w:bCs/>
          <w:sz w:val="24"/>
          <w:szCs w:val="24"/>
        </w:rPr>
        <w:t>=</w:t>
      </w:r>
      <w:proofErr w:type="spellStart"/>
      <w:r w:rsidRPr="00785960">
        <w:rPr>
          <w:rFonts w:ascii="TimesNewRomanPSMT" w:hAnsi="TimesNewRomanPSMT"/>
          <w:bCs/>
          <w:sz w:val="24"/>
          <w:szCs w:val="24"/>
        </w:rPr>
        <w:t>L&amp;r</w:t>
      </w:r>
      <w:proofErr w:type="spellEnd"/>
      <w:r w:rsidRPr="00785960">
        <w:rPr>
          <w:rFonts w:ascii="TimesNewRomanPSMT" w:hAnsi="TimesNewRomanPSMT"/>
          <w:bCs/>
          <w:sz w:val="24"/>
          <w:szCs w:val="24"/>
        </w:rPr>
        <w:t>=</w:t>
      </w:r>
      <w:proofErr w:type="spellStart"/>
      <w:r w:rsidRPr="00785960">
        <w:rPr>
          <w:rFonts w:ascii="TimesNewRomanPSMT" w:hAnsi="TimesNewRomanPSMT"/>
          <w:bCs/>
          <w:sz w:val="24"/>
          <w:szCs w:val="24"/>
        </w:rPr>
        <w:t>SECTION&amp;n</w:t>
      </w:r>
      <w:proofErr w:type="spellEnd"/>
      <w:r w:rsidRPr="00785960">
        <w:rPr>
          <w:rFonts w:ascii="TimesNewRomanPSMT" w:hAnsi="TimesNewRomanPSMT"/>
          <w:bCs/>
          <w:sz w:val="24"/>
          <w:szCs w:val="24"/>
        </w:rPr>
        <w:t xml:space="preserve">=42y4.0.1.1.9.2.109.5 </w:t>
      </w:r>
    </w:p>
    <w:p w:rsidR="00785960" w:rsidRPr="00785960" w:rsidRDefault="00785960" w:rsidP="00785960">
      <w:pPr>
        <w:pStyle w:val="NormalWeb"/>
        <w:rPr>
          <w:rFonts w:ascii="TimesNewRomanPS" w:hAnsi="TimesNewRomanPS"/>
          <w:bCs/>
          <w:sz w:val="24"/>
          <w:szCs w:val="24"/>
        </w:rPr>
      </w:pPr>
      <w:r w:rsidRPr="00785960">
        <w:rPr>
          <w:rFonts w:ascii="TimesNewRomanPSMT" w:hAnsi="TimesNewRomanPSMT"/>
          <w:bCs/>
          <w:sz w:val="24"/>
          <w:szCs w:val="24"/>
        </w:rPr>
        <w:t>Code of Federal Regulations, 42 C.F.R. § 440.70(a</w:t>
      </w:r>
      <w:proofErr w:type="gramStart"/>
      <w:r w:rsidRPr="00785960">
        <w:rPr>
          <w:rFonts w:ascii="TimesNewRomanPSMT" w:hAnsi="TimesNewRomanPSMT"/>
          <w:bCs/>
          <w:sz w:val="24"/>
          <w:szCs w:val="24"/>
        </w:rPr>
        <w:t>)(</w:t>
      </w:r>
      <w:proofErr w:type="gramEnd"/>
      <w:r w:rsidRPr="00785960">
        <w:rPr>
          <w:rFonts w:ascii="TimesNewRomanPSMT" w:hAnsi="TimesNewRomanPSMT"/>
          <w:bCs/>
          <w:sz w:val="24"/>
          <w:szCs w:val="24"/>
        </w:rPr>
        <w:t xml:space="preserve">2). </w:t>
      </w:r>
      <w:proofErr w:type="gramStart"/>
      <w:r w:rsidRPr="00785960">
        <w:rPr>
          <w:rFonts w:ascii="TimesNewRomanPSMT" w:hAnsi="TimesNewRomanPSMT"/>
          <w:bCs/>
          <w:sz w:val="24"/>
          <w:szCs w:val="24"/>
        </w:rPr>
        <w:t>Home health services.</w:t>
      </w:r>
      <w:proofErr w:type="gramEnd"/>
      <w:r w:rsidRPr="00785960">
        <w:rPr>
          <w:rFonts w:ascii="TimesNewRomanPSMT" w:hAnsi="TimesNewRomanPSMT"/>
          <w:bCs/>
          <w:sz w:val="24"/>
          <w:szCs w:val="24"/>
        </w:rPr>
        <w:t xml:space="preserve"> Retrieved August 2, 2012, from </w:t>
      </w:r>
      <w:hyperlink r:id="rId10" w:history="1">
        <w:r w:rsidRPr="00785960">
          <w:rPr>
            <w:rStyle w:val="Hyperlink"/>
            <w:rFonts w:ascii="TimesNewRomanPSMT" w:hAnsi="TimesNewRomanPSMT"/>
            <w:bCs/>
            <w:color w:val="auto"/>
            <w:sz w:val="24"/>
            <w:szCs w:val="24"/>
          </w:rPr>
          <w:t>http://www.ecfr.gov/cgi-bin/retrieveECFR?gp=1&amp;SID=b44b980140f072ed701a782d89fddcf6&amp;ty=HTML&amp;h=L&amp;r</w:t>
        </w:r>
      </w:hyperlink>
      <w:r w:rsidRPr="00785960">
        <w:rPr>
          <w:rFonts w:ascii="TimesNewRomanPSMT" w:hAnsi="TimesNewRomanPSMT"/>
          <w:bCs/>
          <w:sz w:val="24"/>
          <w:szCs w:val="24"/>
        </w:rPr>
        <w:t xml:space="preserve"> =</w:t>
      </w:r>
      <w:proofErr w:type="spellStart"/>
      <w:r w:rsidRPr="00785960">
        <w:rPr>
          <w:rFonts w:ascii="TimesNewRomanPSMT" w:hAnsi="TimesNewRomanPSMT"/>
          <w:bCs/>
          <w:sz w:val="24"/>
          <w:szCs w:val="24"/>
        </w:rPr>
        <w:t>SECTION&amp;n</w:t>
      </w:r>
      <w:proofErr w:type="spellEnd"/>
      <w:r w:rsidRPr="00785960">
        <w:rPr>
          <w:rFonts w:ascii="TimesNewRomanPSMT" w:hAnsi="TimesNewRomanPSMT"/>
          <w:bCs/>
          <w:sz w:val="24"/>
          <w:szCs w:val="24"/>
        </w:rPr>
        <w:t xml:space="preserve">=42y4.0.1.1.9.1.109.9 </w:t>
      </w:r>
    </w:p>
    <w:p w:rsidR="00785960" w:rsidRDefault="00785960" w:rsidP="00785960">
      <w:pPr>
        <w:pStyle w:val="NormalWeb"/>
        <w:rPr>
          <w:color w:val="000000"/>
          <w:sz w:val="21"/>
          <w:szCs w:val="21"/>
        </w:rPr>
      </w:pPr>
      <w:r>
        <w:rPr>
          <w:rFonts w:ascii="TimesNewRomanPSMT" w:hAnsi="TimesNewRomanPSMT"/>
          <w:color w:val="000000"/>
          <w:sz w:val="24"/>
          <w:szCs w:val="24"/>
        </w:rPr>
        <w:t>Social Security Act, § 1902(a</w:t>
      </w:r>
      <w:proofErr w:type="gramStart"/>
      <w:r>
        <w:rPr>
          <w:rFonts w:ascii="TimesNewRomanPSMT" w:hAnsi="TimesNewRomanPSMT"/>
          <w:color w:val="000000"/>
          <w:sz w:val="24"/>
          <w:szCs w:val="24"/>
        </w:rPr>
        <w:t>)(</w:t>
      </w:r>
      <w:proofErr w:type="gramEnd"/>
      <w:r>
        <w:rPr>
          <w:rFonts w:ascii="TimesNewRomanPSMT" w:hAnsi="TimesNewRomanPSMT"/>
          <w:color w:val="000000"/>
          <w:sz w:val="24"/>
          <w:szCs w:val="24"/>
        </w:rPr>
        <w:t xml:space="preserve">27). State Plans for Medical Assistance. Retrieved April 10, 2012, from </w:t>
      </w:r>
    </w:p>
    <w:p w:rsidR="00785960" w:rsidRPr="00171FEE" w:rsidRDefault="00785960" w:rsidP="00785960">
      <w:pPr>
        <w:pStyle w:val="NormalWeb"/>
        <w:rPr>
          <w:sz w:val="21"/>
          <w:szCs w:val="21"/>
        </w:rPr>
      </w:pPr>
      <w:hyperlink r:id="rId11" w:history="1">
        <w:r w:rsidRPr="00171FEE">
          <w:rPr>
            <w:rStyle w:val="Hyperlink"/>
            <w:rFonts w:ascii="TimesNewRomanPSMT" w:hAnsi="TimesNewRomanPSMT"/>
            <w:color w:val="auto"/>
            <w:sz w:val="24"/>
            <w:szCs w:val="24"/>
          </w:rPr>
          <w:t>http://www.ssa.gov/OP_Home/ssact/title19/1902.htm</w:t>
        </w:r>
      </w:hyperlink>
      <w:r w:rsidRPr="00171FEE">
        <w:rPr>
          <w:rFonts w:ascii="TimesNewRomanPSMT" w:hAnsi="TimesNewRomanPSMT"/>
          <w:sz w:val="24"/>
          <w:szCs w:val="24"/>
        </w:rPr>
        <w:t xml:space="preserve"> </w:t>
      </w:r>
    </w:p>
    <w:p w:rsidR="00785960" w:rsidRPr="00171FEE" w:rsidRDefault="00785960" w:rsidP="00785960">
      <w:pPr>
        <w:pStyle w:val="NormalWeb"/>
        <w:rPr>
          <w:sz w:val="21"/>
          <w:szCs w:val="21"/>
        </w:rPr>
      </w:pPr>
      <w:proofErr w:type="gramStart"/>
      <w:r w:rsidRPr="00171FEE">
        <w:rPr>
          <w:rFonts w:ascii="TimesNewRomanPSMT" w:hAnsi="TimesNewRomanPSMT"/>
          <w:sz w:val="24"/>
          <w:szCs w:val="24"/>
        </w:rPr>
        <w:t>Code of Federal Regulations, 42 C.F.R. §440.70 (2).</w:t>
      </w:r>
      <w:proofErr w:type="gramEnd"/>
      <w:r w:rsidRPr="00171FEE">
        <w:rPr>
          <w:rFonts w:ascii="TimesNewRomanPSMT" w:hAnsi="TimesNewRomanPSMT"/>
          <w:sz w:val="24"/>
          <w:szCs w:val="24"/>
        </w:rPr>
        <w:t xml:space="preserve"> </w:t>
      </w:r>
      <w:proofErr w:type="gramStart"/>
      <w:r w:rsidRPr="00171FEE">
        <w:rPr>
          <w:rFonts w:ascii="TimesNewRomanPSMT" w:hAnsi="TimesNewRomanPSMT"/>
          <w:sz w:val="24"/>
          <w:szCs w:val="24"/>
        </w:rPr>
        <w:t>Home Health Services.</w:t>
      </w:r>
      <w:proofErr w:type="gramEnd"/>
      <w:r w:rsidRPr="00171FEE">
        <w:rPr>
          <w:rFonts w:ascii="TimesNewRomanPSMT" w:hAnsi="TimesNewRomanPSMT"/>
          <w:sz w:val="24"/>
          <w:szCs w:val="24"/>
        </w:rPr>
        <w:t xml:space="preserve"> Retrieved April 5, 2012, from </w:t>
      </w:r>
      <w:hyperlink r:id="rId12" w:history="1">
        <w:r w:rsidRPr="00171FEE">
          <w:rPr>
            <w:rStyle w:val="Hyperlink"/>
            <w:rFonts w:ascii="TimesNewRomanPSMT" w:hAnsi="TimesNewRomanPSMT"/>
            <w:color w:val="auto"/>
            <w:sz w:val="24"/>
            <w:szCs w:val="24"/>
          </w:rPr>
          <w:t>http://www.ecfr.gov/cgi-bin/retrieveECFR?gp=1&amp;SID=b44b980140f072ed701a782d89fddcf6&amp;ty=HTML&amp;h=L&amp;</w:t>
        </w:r>
      </w:hyperlink>
      <w:r w:rsidRPr="00171FEE">
        <w:rPr>
          <w:rFonts w:ascii="TimesNewRomanPSMT" w:hAnsi="TimesNewRomanPSMT"/>
          <w:sz w:val="24"/>
          <w:szCs w:val="24"/>
        </w:rPr>
        <w:t xml:space="preserve"> </w:t>
      </w:r>
    </w:p>
    <w:p w:rsidR="00785960" w:rsidRPr="00171FEE" w:rsidRDefault="00785960" w:rsidP="00785960">
      <w:pPr>
        <w:pStyle w:val="NormalWeb"/>
        <w:rPr>
          <w:sz w:val="21"/>
          <w:szCs w:val="21"/>
        </w:rPr>
      </w:pPr>
      <w:r w:rsidRPr="00171FEE">
        <w:rPr>
          <w:rFonts w:ascii="TimesNewRomanPSMT" w:hAnsi="TimesNewRomanPSMT"/>
          <w:sz w:val="24"/>
          <w:szCs w:val="24"/>
        </w:rPr>
        <w:t>r=</w:t>
      </w:r>
      <w:proofErr w:type="spellStart"/>
      <w:r w:rsidRPr="00171FEE">
        <w:rPr>
          <w:rFonts w:ascii="TimesNewRomanPSMT" w:hAnsi="TimesNewRomanPSMT"/>
          <w:sz w:val="24"/>
          <w:szCs w:val="24"/>
        </w:rPr>
        <w:t>SECTION&amp;n</w:t>
      </w:r>
      <w:proofErr w:type="spellEnd"/>
      <w:r w:rsidRPr="00171FEE">
        <w:rPr>
          <w:rFonts w:ascii="TimesNewRomanPSMT" w:hAnsi="TimesNewRomanPSMT"/>
          <w:sz w:val="24"/>
          <w:szCs w:val="24"/>
        </w:rPr>
        <w:t xml:space="preserve">=42y4.0.1.1.9.1.109.9 </w:t>
      </w:r>
    </w:p>
    <w:p w:rsidR="00785960" w:rsidRPr="00171FEE" w:rsidRDefault="00785960" w:rsidP="00785960">
      <w:pPr>
        <w:pStyle w:val="NormalWeb"/>
        <w:rPr>
          <w:sz w:val="21"/>
          <w:szCs w:val="21"/>
        </w:rPr>
      </w:pPr>
      <w:r w:rsidRPr="00171FEE">
        <w:rPr>
          <w:rFonts w:ascii="TimesNewRomanPSMT" w:hAnsi="TimesNewRomanPSMT"/>
          <w:sz w:val="24"/>
          <w:szCs w:val="24"/>
        </w:rPr>
        <w:t xml:space="preserve">Title-471/Chapter-07.pdf </w:t>
      </w:r>
    </w:p>
    <w:p w:rsidR="00785960" w:rsidRPr="00171FEE" w:rsidRDefault="00785960" w:rsidP="00785960">
      <w:pPr>
        <w:pStyle w:val="NormalWeb"/>
        <w:rPr>
          <w:sz w:val="21"/>
          <w:szCs w:val="21"/>
        </w:rPr>
      </w:pPr>
      <w:proofErr w:type="gramStart"/>
      <w:r w:rsidRPr="00171FEE">
        <w:rPr>
          <w:rFonts w:ascii="TimesNewRomanPSMT" w:hAnsi="TimesNewRomanPSMT"/>
          <w:sz w:val="24"/>
          <w:szCs w:val="24"/>
        </w:rPr>
        <w:t>U.S. Department of Justice.</w:t>
      </w:r>
      <w:proofErr w:type="gramEnd"/>
      <w:r w:rsidRPr="00171FEE">
        <w:rPr>
          <w:rFonts w:ascii="TimesNewRomanPSMT" w:hAnsi="TimesNewRomanPSMT"/>
          <w:sz w:val="24"/>
          <w:szCs w:val="24"/>
        </w:rPr>
        <w:t xml:space="preserve"> (February 28, 2012). “Dallas Doctor Arrested for Alleged Role in Nearly $375 Million Health Care Fraud Scheme.” Retrieved April 16, 2012, from </w:t>
      </w:r>
      <w:hyperlink r:id="rId13" w:history="1">
        <w:r w:rsidRPr="00171FEE">
          <w:rPr>
            <w:rStyle w:val="Hyperlink"/>
            <w:rFonts w:ascii="TimesNewRomanPSMT" w:hAnsi="TimesNewRomanPSMT"/>
            <w:color w:val="auto"/>
            <w:sz w:val="24"/>
            <w:szCs w:val="24"/>
          </w:rPr>
          <w:t>http://www.justice.gov/opa/pr/2012/February/12-</w:t>
        </w:r>
      </w:hyperlink>
      <w:r w:rsidRPr="00171FEE">
        <w:rPr>
          <w:rFonts w:ascii="TimesNewRomanPSMT" w:hAnsi="TimesNewRomanPSMT"/>
          <w:sz w:val="24"/>
          <w:szCs w:val="24"/>
        </w:rPr>
        <w:t xml:space="preserve"> crm-260.html </w:t>
      </w:r>
    </w:p>
    <w:p w:rsidR="00785960" w:rsidRPr="00171FEE" w:rsidRDefault="00785960" w:rsidP="00785960">
      <w:pPr>
        <w:pStyle w:val="NormalWeb"/>
        <w:rPr>
          <w:sz w:val="21"/>
          <w:szCs w:val="21"/>
        </w:rPr>
      </w:pPr>
      <w:r w:rsidRPr="00171FEE">
        <w:rPr>
          <w:rFonts w:ascii="TimesNewRomanPSMT" w:hAnsi="TimesNewRomanPSMT"/>
          <w:sz w:val="24"/>
          <w:szCs w:val="24"/>
        </w:rPr>
        <w:t>U.S.Attorney’sOffice</w:t>
      </w:r>
      <w:proofErr w:type="gramStart"/>
      <w:r w:rsidRPr="00171FEE">
        <w:rPr>
          <w:rFonts w:ascii="TimesNewRomanPSMT" w:hAnsi="TimesNewRomanPSMT"/>
          <w:sz w:val="24"/>
          <w:szCs w:val="24"/>
        </w:rPr>
        <w:t>,CentralDistrictofCalifornia</w:t>
      </w:r>
      <w:proofErr w:type="gramEnd"/>
      <w:r w:rsidRPr="00171FEE">
        <w:rPr>
          <w:rFonts w:ascii="TimesNewRomanPSMT" w:hAnsi="TimesNewRomanPSMT"/>
          <w:sz w:val="24"/>
          <w:szCs w:val="24"/>
        </w:rPr>
        <w:t xml:space="preserve">.(January12,2012).“OwnerOfWestlakeHomeHealthAgency Pleads Guilty To Bilking Medicare Out Of Over $5 Million In Health Care Fraud Scheme.” Retrieved April 16, 2012, from </w:t>
      </w:r>
      <w:hyperlink r:id="rId14" w:history="1">
        <w:r w:rsidRPr="00171FEE">
          <w:rPr>
            <w:rStyle w:val="Hyperlink"/>
            <w:rFonts w:ascii="TimesNewRomanPSMT" w:hAnsi="TimesNewRomanPSMT"/>
            <w:color w:val="auto"/>
            <w:sz w:val="24"/>
            <w:szCs w:val="24"/>
          </w:rPr>
          <w:t>http://www.justice.gov/usao/cac/Pressroom/2012/008.html</w:t>
        </w:r>
      </w:hyperlink>
      <w:r w:rsidRPr="00171FEE">
        <w:rPr>
          <w:rFonts w:ascii="TimesNewRomanPSMT" w:hAnsi="TimesNewRomanPSMT"/>
          <w:sz w:val="24"/>
          <w:szCs w:val="24"/>
        </w:rPr>
        <w:t xml:space="preserve"> </w:t>
      </w:r>
    </w:p>
    <w:p w:rsidR="00785960" w:rsidRPr="00171FEE" w:rsidRDefault="00785960" w:rsidP="00785960">
      <w:pPr>
        <w:pStyle w:val="NormalWeb"/>
        <w:rPr>
          <w:sz w:val="21"/>
          <w:szCs w:val="21"/>
        </w:rPr>
      </w:pPr>
      <w:proofErr w:type="gramStart"/>
      <w:r w:rsidRPr="00171FEE">
        <w:rPr>
          <w:rFonts w:ascii="TimesNewRomanPSMT" w:hAnsi="TimesNewRomanPSMT"/>
          <w:sz w:val="24"/>
          <w:szCs w:val="24"/>
        </w:rPr>
        <w:t>U.S. Department of Justice.</w:t>
      </w:r>
      <w:proofErr w:type="gramEnd"/>
      <w:r w:rsidRPr="00171FEE">
        <w:rPr>
          <w:rFonts w:ascii="TimesNewRomanPSMT" w:hAnsi="TimesNewRomanPSMT"/>
          <w:sz w:val="24"/>
          <w:szCs w:val="24"/>
        </w:rPr>
        <w:t xml:space="preserve"> (February 28, </w:t>
      </w:r>
      <w:proofErr w:type="gramStart"/>
      <w:r w:rsidRPr="00171FEE">
        <w:rPr>
          <w:rFonts w:ascii="TimesNewRomanPSMT" w:hAnsi="TimesNewRomanPSMT"/>
          <w:sz w:val="24"/>
          <w:szCs w:val="24"/>
        </w:rPr>
        <w:t>2012 )</w:t>
      </w:r>
      <w:proofErr w:type="gramEnd"/>
      <w:r w:rsidRPr="00171FEE">
        <w:rPr>
          <w:rFonts w:ascii="TimesNewRomanPSMT" w:hAnsi="TimesNewRomanPSMT"/>
          <w:sz w:val="24"/>
          <w:szCs w:val="24"/>
        </w:rPr>
        <w:t xml:space="preserve">. “Dallas Doctor Arrested for Alleged Role in Nearly $375 Million Health Care Fraud Scheme.” Retrieved April 16, 2012, from </w:t>
      </w:r>
      <w:hyperlink r:id="rId15" w:history="1">
        <w:r w:rsidRPr="00171FEE">
          <w:rPr>
            <w:rStyle w:val="Hyperlink"/>
            <w:rFonts w:ascii="TimesNewRomanPSMT" w:hAnsi="TimesNewRomanPSMT"/>
            <w:color w:val="auto"/>
            <w:sz w:val="24"/>
            <w:szCs w:val="24"/>
          </w:rPr>
          <w:t>http://www.justice.gov/opa/pr/2012/</w:t>
        </w:r>
      </w:hyperlink>
      <w:r w:rsidRPr="00171FEE">
        <w:rPr>
          <w:rFonts w:ascii="TimesNewRomanPSMT" w:hAnsi="TimesNewRomanPSMT"/>
          <w:sz w:val="24"/>
          <w:szCs w:val="24"/>
        </w:rPr>
        <w:t xml:space="preserve"> February/12-crm-260.html </w:t>
      </w:r>
    </w:p>
    <w:p w:rsidR="00785960" w:rsidRPr="00171FEE" w:rsidRDefault="00785960" w:rsidP="00785960">
      <w:pPr>
        <w:pStyle w:val="NormalWeb"/>
        <w:rPr>
          <w:sz w:val="21"/>
          <w:szCs w:val="21"/>
        </w:rPr>
      </w:pPr>
      <w:r w:rsidRPr="00171FEE">
        <w:rPr>
          <w:rFonts w:ascii="TimesNewRomanPSMT" w:hAnsi="TimesNewRomanPSMT"/>
          <w:sz w:val="24"/>
          <w:szCs w:val="24"/>
        </w:rPr>
        <w:t>CodeofFederalRegulations</w:t>
      </w:r>
      <w:proofErr w:type="gramStart"/>
      <w:r w:rsidRPr="00171FEE">
        <w:rPr>
          <w:rFonts w:ascii="TimesNewRomanPSMT" w:hAnsi="TimesNewRomanPSMT"/>
          <w:sz w:val="24"/>
          <w:szCs w:val="24"/>
        </w:rPr>
        <w:t>,42C.F.R.440.70</w:t>
      </w:r>
      <w:proofErr w:type="gramEnd"/>
      <w:r w:rsidRPr="00171FEE">
        <w:rPr>
          <w:rFonts w:ascii="TimesNewRomanPSMT" w:hAnsi="TimesNewRomanPSMT"/>
          <w:sz w:val="24"/>
          <w:szCs w:val="24"/>
        </w:rPr>
        <w:t xml:space="preserve">(b)(3).HomeHealthServices.RetrievedFebruary24,2012, from </w:t>
      </w:r>
      <w:hyperlink r:id="rId16" w:history="1">
        <w:r w:rsidRPr="00171FEE">
          <w:rPr>
            <w:rStyle w:val="Hyperlink"/>
            <w:rFonts w:ascii="TimesNewRomanPSMT" w:hAnsi="TimesNewRomanPSMT"/>
            <w:color w:val="auto"/>
            <w:sz w:val="24"/>
            <w:szCs w:val="24"/>
          </w:rPr>
          <w:t>http://www.gpo.gov/fdsys/pkg/CFR-2010-title42-vol4/pdf/CFR-2010-title42-vol4-sec440-70.pdf</w:t>
        </w:r>
      </w:hyperlink>
      <w:r w:rsidRPr="00171FEE">
        <w:rPr>
          <w:rFonts w:ascii="TimesNewRomanPSMT" w:hAnsi="TimesNewRomanPSMT"/>
          <w:sz w:val="24"/>
          <w:szCs w:val="24"/>
        </w:rPr>
        <w:t xml:space="preserve"> 15 Nebraska Administrative Code. Nebraska HHS Finance and Support Manual, </w:t>
      </w:r>
      <w:r w:rsidRPr="00171FEE">
        <w:rPr>
          <w:rFonts w:ascii="TimesNewRomanPSMT" w:hAnsi="TimesNewRomanPSMT"/>
          <w:sz w:val="24"/>
          <w:szCs w:val="24"/>
        </w:rPr>
        <w:lastRenderedPageBreak/>
        <w:t xml:space="preserve">471 NAC 7-007.01. Retrieved July 9, 2012, from </w:t>
      </w:r>
      <w:hyperlink r:id="rId17" w:history="1">
        <w:r w:rsidRPr="00171FEE">
          <w:rPr>
            <w:rStyle w:val="Hyperlink"/>
            <w:rFonts w:ascii="TimesNewRomanPSMT" w:hAnsi="TimesNewRomanPSMT"/>
            <w:color w:val="auto"/>
            <w:sz w:val="24"/>
            <w:szCs w:val="24"/>
          </w:rPr>
          <w:t>http://www.sos.ne.gov/rules-and-regs/regsearch/Rules/Health_and_Human_Services_System/</w:t>
        </w:r>
      </w:hyperlink>
      <w:r w:rsidRPr="00171FEE">
        <w:rPr>
          <w:rFonts w:ascii="TimesNewRomanPSMT" w:hAnsi="TimesNewRomanPSMT"/>
          <w:sz w:val="24"/>
          <w:szCs w:val="24"/>
        </w:rPr>
        <w:t xml:space="preserve"> Title-471/Chapter-07.pdf </w:t>
      </w:r>
    </w:p>
    <w:p w:rsidR="00785960" w:rsidRPr="00171FEE" w:rsidRDefault="00785960" w:rsidP="00785960">
      <w:pPr>
        <w:pStyle w:val="NormalWeb"/>
        <w:rPr>
          <w:sz w:val="21"/>
          <w:szCs w:val="21"/>
        </w:rPr>
      </w:pPr>
      <w:proofErr w:type="gramStart"/>
      <w:r w:rsidRPr="00171FEE">
        <w:rPr>
          <w:rFonts w:ascii="TimesNewRomanPSMT" w:hAnsi="TimesNewRomanPSMT"/>
          <w:sz w:val="24"/>
          <w:szCs w:val="24"/>
        </w:rPr>
        <w:t>National Association of Medicaid Fraud Control Units.</w:t>
      </w:r>
      <w:proofErr w:type="gramEnd"/>
      <w:r w:rsidRPr="00171FEE">
        <w:rPr>
          <w:rFonts w:ascii="TimesNewRomanPSMT" w:hAnsi="TimesNewRomanPSMT"/>
          <w:sz w:val="24"/>
          <w:szCs w:val="24"/>
        </w:rPr>
        <w:t xml:space="preserve"> (May/June 2010). Medicaid Fraud Report (p. 14). Retrieved September 17, 2010, from </w:t>
      </w:r>
      <w:hyperlink r:id="rId18" w:history="1">
        <w:r w:rsidRPr="00171FEE">
          <w:rPr>
            <w:rStyle w:val="Hyperlink"/>
            <w:rFonts w:ascii="TimesNewRomanPSMT" w:hAnsi="TimesNewRomanPSMT"/>
            <w:color w:val="auto"/>
            <w:sz w:val="24"/>
            <w:szCs w:val="24"/>
          </w:rPr>
          <w:t>http://www.namfcu.net/resources/medicaid-fraud-reports-newsletters/2010-</w:t>
        </w:r>
      </w:hyperlink>
      <w:r w:rsidRPr="00171FEE">
        <w:rPr>
          <w:rFonts w:ascii="TimesNewRomanPSMT" w:hAnsi="TimesNewRomanPSMT"/>
          <w:sz w:val="24"/>
          <w:szCs w:val="24"/>
        </w:rPr>
        <w:t xml:space="preserve"> publications/10MayJune.pdf </w:t>
      </w:r>
    </w:p>
    <w:p w:rsidR="00785960" w:rsidRPr="00171FEE" w:rsidRDefault="00785960" w:rsidP="00785960">
      <w:pPr>
        <w:pStyle w:val="NormalWeb"/>
        <w:rPr>
          <w:sz w:val="21"/>
          <w:szCs w:val="21"/>
        </w:rPr>
      </w:pPr>
      <w:proofErr w:type="gramStart"/>
      <w:r w:rsidRPr="00171FEE">
        <w:rPr>
          <w:rFonts w:ascii="TimesNewRomanPSMT" w:hAnsi="TimesNewRomanPSMT"/>
          <w:sz w:val="24"/>
          <w:szCs w:val="24"/>
        </w:rPr>
        <w:t>National Association of Medicaid Fraud Control Units.</w:t>
      </w:r>
      <w:proofErr w:type="gramEnd"/>
      <w:r w:rsidRPr="00171FEE">
        <w:rPr>
          <w:rFonts w:ascii="TimesNewRomanPSMT" w:hAnsi="TimesNewRomanPSMT"/>
          <w:sz w:val="24"/>
          <w:szCs w:val="24"/>
        </w:rPr>
        <w:t xml:space="preserve"> (January/February 2009). Medicaid Fraud Report (p. 5). Retrieved September 17, 2010, from </w:t>
      </w:r>
      <w:hyperlink r:id="rId19" w:history="1">
        <w:r w:rsidRPr="00171FEE">
          <w:rPr>
            <w:rStyle w:val="Hyperlink"/>
            <w:rFonts w:ascii="TimesNewRomanPSMT" w:hAnsi="TimesNewRomanPSMT"/>
            <w:color w:val="auto"/>
            <w:sz w:val="24"/>
            <w:szCs w:val="24"/>
          </w:rPr>
          <w:t>http://www.namfcu.net/resources/medicaid-fraud-reports-newsletters/2009-</w:t>
        </w:r>
      </w:hyperlink>
      <w:r w:rsidRPr="00171FEE">
        <w:rPr>
          <w:rFonts w:ascii="TimesNewRomanPSMT" w:hAnsi="TimesNewRomanPSMT"/>
          <w:sz w:val="24"/>
          <w:szCs w:val="24"/>
        </w:rPr>
        <w:t xml:space="preserve"> publications/09JanFeb.pdf </w:t>
      </w:r>
    </w:p>
    <w:p w:rsidR="00785960" w:rsidRPr="00171FEE" w:rsidRDefault="00785960" w:rsidP="00785960">
      <w:pPr>
        <w:pStyle w:val="NormalWeb"/>
        <w:rPr>
          <w:sz w:val="21"/>
          <w:szCs w:val="21"/>
        </w:rPr>
      </w:pPr>
      <w:proofErr w:type="gramStart"/>
      <w:r w:rsidRPr="00171FEE">
        <w:rPr>
          <w:rFonts w:ascii="TimesNewRomanPSMT" w:hAnsi="TimesNewRomanPSMT"/>
          <w:sz w:val="24"/>
          <w:szCs w:val="24"/>
        </w:rPr>
        <w:t>National Association of Medicaid Fraud Control Units.</w:t>
      </w:r>
      <w:proofErr w:type="gramEnd"/>
      <w:r w:rsidRPr="00171FEE">
        <w:rPr>
          <w:rFonts w:ascii="TimesNewRomanPSMT" w:hAnsi="TimesNewRomanPSMT"/>
          <w:sz w:val="24"/>
          <w:szCs w:val="24"/>
        </w:rPr>
        <w:t xml:space="preserve"> (November/December 2009). Medicaid Fraud Report (p. 14). Retrieved September 17, 2010, from </w:t>
      </w:r>
      <w:hyperlink r:id="rId20" w:history="1">
        <w:r w:rsidRPr="00171FEE">
          <w:rPr>
            <w:rStyle w:val="Hyperlink"/>
            <w:rFonts w:ascii="TimesNewRomanPSMT" w:hAnsi="TimesNewRomanPSMT"/>
            <w:color w:val="auto"/>
            <w:sz w:val="24"/>
            <w:szCs w:val="24"/>
          </w:rPr>
          <w:t>http://www.namfcu.net/resources/medicaid-fraud-reports-</w:t>
        </w:r>
      </w:hyperlink>
      <w:r w:rsidRPr="00171FEE">
        <w:rPr>
          <w:rFonts w:ascii="TimesNewRomanPSMT" w:hAnsi="TimesNewRomanPSMT"/>
          <w:sz w:val="24"/>
          <w:szCs w:val="24"/>
        </w:rPr>
        <w:t xml:space="preserve"> newsletters/2009-publications/09NovDec.pdf </w:t>
      </w:r>
    </w:p>
    <w:p w:rsidR="00785960" w:rsidRPr="00171FEE" w:rsidRDefault="00785960" w:rsidP="00785960">
      <w:pPr>
        <w:pStyle w:val="NormalWeb"/>
        <w:rPr>
          <w:sz w:val="21"/>
          <w:szCs w:val="21"/>
        </w:rPr>
      </w:pPr>
      <w:r w:rsidRPr="00171FEE">
        <w:rPr>
          <w:rFonts w:ascii="Arial" w:hAnsi="Arial" w:cs="Arial"/>
          <w:b/>
          <w:bCs/>
          <w:sz w:val="32"/>
          <w:szCs w:val="32"/>
        </w:rPr>
        <w:t xml:space="preserve">How to Report Fraud </w:t>
      </w:r>
    </w:p>
    <w:p w:rsidR="00785960" w:rsidRPr="00171FEE" w:rsidRDefault="00785960" w:rsidP="00785960">
      <w:pPr>
        <w:pStyle w:val="NormalWeb"/>
        <w:rPr>
          <w:sz w:val="21"/>
          <w:szCs w:val="21"/>
        </w:rPr>
      </w:pPr>
      <w:r w:rsidRPr="00171FEE">
        <w:rPr>
          <w:rFonts w:ascii="TimesNewRomanPSMT" w:hAnsi="TimesNewRomanPSMT"/>
          <w:sz w:val="24"/>
          <w:szCs w:val="24"/>
        </w:rPr>
        <w:t xml:space="preserve">Contact your State Medicaid Fraud Control Unit; State Medicaid agency; or the U.S. Department of Health &amp; Human Services, Office of Inspector General (HHS-OIG) online at </w:t>
      </w:r>
      <w:hyperlink r:id="rId21" w:history="1">
        <w:r w:rsidRPr="00171FEE">
          <w:rPr>
            <w:rStyle w:val="Hyperlink"/>
            <w:rFonts w:ascii="TimesNewRomanPSMT" w:hAnsi="TimesNewRomanPSMT"/>
            <w:color w:val="auto"/>
            <w:sz w:val="24"/>
            <w:szCs w:val="24"/>
          </w:rPr>
          <w:t>https://oig.hhs.gov/fraud/hotline/</w:t>
        </w:r>
      </w:hyperlink>
      <w:r w:rsidRPr="00171FEE">
        <w:rPr>
          <w:rFonts w:ascii="TimesNewRomanPSMT" w:hAnsi="TimesNewRomanPSMT"/>
          <w:sz w:val="24"/>
          <w:szCs w:val="24"/>
        </w:rPr>
        <w:t xml:space="preserve"> on the HHS- OIG website. </w:t>
      </w:r>
    </w:p>
    <w:p w:rsidR="00785960" w:rsidRDefault="00785960" w:rsidP="00785960">
      <w:pPr>
        <w:pStyle w:val="NormalWeb"/>
        <w:rPr>
          <w:color w:val="000000"/>
          <w:sz w:val="21"/>
          <w:szCs w:val="21"/>
        </w:rPr>
      </w:pPr>
      <w:r>
        <w:rPr>
          <w:rFonts w:ascii="TimesNewRomanPSMT" w:hAnsi="TimesNewRomanPSMT"/>
          <w:color w:val="000000"/>
          <w:sz w:val="24"/>
          <w:szCs w:val="24"/>
        </w:rPr>
        <w:t xml:space="preserve">Contact HHS-OIG by mail, phone, or fax: </w:t>
      </w:r>
    </w:p>
    <w:p w:rsidR="00785960" w:rsidRDefault="00785960" w:rsidP="00785960">
      <w:pPr>
        <w:pStyle w:val="NormalWeb"/>
        <w:rPr>
          <w:color w:val="000000"/>
          <w:sz w:val="21"/>
          <w:szCs w:val="21"/>
        </w:rPr>
      </w:pPr>
      <w:r>
        <w:rPr>
          <w:rFonts w:ascii="TimesNewRomanPSMT" w:hAnsi="TimesNewRomanPSMT"/>
          <w:color w:val="000000"/>
          <w:sz w:val="24"/>
          <w:szCs w:val="24"/>
        </w:rPr>
        <w:t>Office of Inspector General</w:t>
      </w:r>
      <w:r>
        <w:rPr>
          <w:rFonts w:ascii="TimesNewRomanPSMT" w:hAnsi="TimesNewRomanPSMT"/>
          <w:color w:val="000000"/>
          <w:sz w:val="24"/>
          <w:szCs w:val="24"/>
        </w:rPr>
        <w:br/>
        <w:t>U.S. Department of Health &amp; Human Services ATTN: HOTLINE</w:t>
      </w:r>
      <w:r>
        <w:rPr>
          <w:rFonts w:ascii="TimesNewRomanPSMT" w:hAnsi="TimesNewRomanPSMT"/>
          <w:color w:val="000000"/>
          <w:sz w:val="24"/>
          <w:szCs w:val="24"/>
        </w:rPr>
        <w:br/>
        <w:t>PO Box 23489</w:t>
      </w:r>
      <w:r>
        <w:rPr>
          <w:rFonts w:ascii="TimesNewRomanPSMT" w:hAnsi="TimesNewRomanPSMT"/>
          <w:color w:val="000000"/>
          <w:sz w:val="24"/>
          <w:szCs w:val="24"/>
        </w:rPr>
        <w:br/>
        <w:t xml:space="preserve">Washington, DC 20026 </w:t>
      </w:r>
    </w:p>
    <w:p w:rsidR="00785960" w:rsidRDefault="00785960" w:rsidP="00785960">
      <w:pPr>
        <w:pStyle w:val="NormalWeb"/>
        <w:rPr>
          <w:color w:val="000000"/>
          <w:sz w:val="21"/>
          <w:szCs w:val="21"/>
        </w:rPr>
      </w:pPr>
      <w:r>
        <w:rPr>
          <w:rFonts w:ascii="TimesNewRomanPS" w:hAnsi="TimesNewRomanPS"/>
          <w:b/>
          <w:bCs/>
          <w:color w:val="000000"/>
          <w:sz w:val="24"/>
          <w:szCs w:val="24"/>
        </w:rPr>
        <w:t xml:space="preserve">Phone </w:t>
      </w:r>
    </w:p>
    <w:p w:rsidR="00785960" w:rsidRDefault="00785960" w:rsidP="00785960">
      <w:pPr>
        <w:pStyle w:val="NormalWeb"/>
        <w:rPr>
          <w:color w:val="000000"/>
          <w:sz w:val="21"/>
          <w:szCs w:val="21"/>
        </w:rPr>
      </w:pPr>
      <w:r>
        <w:rPr>
          <w:rFonts w:ascii="TimesNewRomanPSMT" w:hAnsi="TimesNewRomanPSMT"/>
          <w:color w:val="000000"/>
          <w:sz w:val="24"/>
          <w:szCs w:val="24"/>
        </w:rPr>
        <w:t xml:space="preserve">1-800-HHS-TIPS (1-800-447-8477) </w:t>
      </w:r>
    </w:p>
    <w:p w:rsidR="00785960" w:rsidRDefault="00785960" w:rsidP="00785960">
      <w:pPr>
        <w:pStyle w:val="NormalWeb"/>
        <w:rPr>
          <w:color w:val="000000"/>
          <w:sz w:val="21"/>
          <w:szCs w:val="21"/>
        </w:rPr>
      </w:pPr>
      <w:r>
        <w:rPr>
          <w:rFonts w:ascii="TimesNewRomanPS" w:hAnsi="TimesNewRomanPS"/>
          <w:b/>
          <w:bCs/>
          <w:color w:val="000000"/>
          <w:sz w:val="24"/>
          <w:szCs w:val="24"/>
        </w:rPr>
        <w:t xml:space="preserve">TTY </w:t>
      </w:r>
    </w:p>
    <w:p w:rsidR="00785960" w:rsidRDefault="00785960" w:rsidP="00785960">
      <w:pPr>
        <w:pStyle w:val="NormalWeb"/>
        <w:rPr>
          <w:color w:val="000000"/>
          <w:sz w:val="21"/>
          <w:szCs w:val="21"/>
        </w:rPr>
      </w:pPr>
      <w:r>
        <w:rPr>
          <w:rFonts w:ascii="TimesNewRomanPSMT" w:hAnsi="TimesNewRomanPSMT"/>
          <w:color w:val="000000"/>
          <w:sz w:val="24"/>
          <w:szCs w:val="24"/>
        </w:rPr>
        <w:t xml:space="preserve">1-800-377-4950 </w:t>
      </w:r>
    </w:p>
    <w:p w:rsidR="00785960" w:rsidRDefault="00785960" w:rsidP="00785960">
      <w:pPr>
        <w:pStyle w:val="NormalWeb"/>
        <w:rPr>
          <w:color w:val="000000"/>
          <w:sz w:val="21"/>
          <w:szCs w:val="21"/>
        </w:rPr>
      </w:pPr>
      <w:r>
        <w:rPr>
          <w:rFonts w:ascii="TimesNewRomanPS" w:hAnsi="TimesNewRomanPS"/>
          <w:b/>
          <w:bCs/>
          <w:color w:val="000000"/>
          <w:sz w:val="24"/>
          <w:szCs w:val="24"/>
        </w:rPr>
        <w:t xml:space="preserve">Fax </w:t>
      </w:r>
    </w:p>
    <w:p w:rsidR="00785960" w:rsidRDefault="00785960" w:rsidP="00785960">
      <w:pPr>
        <w:pStyle w:val="NormalWeb"/>
        <w:rPr>
          <w:color w:val="000000"/>
          <w:sz w:val="21"/>
          <w:szCs w:val="21"/>
        </w:rPr>
      </w:pPr>
      <w:r>
        <w:rPr>
          <w:rFonts w:ascii="TimesNewRomanPSMT" w:hAnsi="TimesNewRomanPSMT"/>
          <w:color w:val="000000"/>
          <w:sz w:val="24"/>
          <w:szCs w:val="24"/>
        </w:rPr>
        <w:t>1-800-223-8164 </w:t>
      </w:r>
    </w:p>
    <w:p w:rsidR="009267C8" w:rsidRDefault="009267C8"/>
    <w:sectPr w:rsidR="009267C8" w:rsidSect="00F2747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TimesNewRomanP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E64EBD"/>
    <w:multiLevelType w:val="multilevel"/>
    <w:tmpl w:val="FF4CD54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85960"/>
    <w:rsid w:val="00171FEE"/>
    <w:rsid w:val="00785960"/>
    <w:rsid w:val="009267C8"/>
    <w:rsid w:val="00F2747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960"/>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85960"/>
    <w:rPr>
      <w:color w:val="0000FF" w:themeColor="hyperlink"/>
      <w:u w:val="single"/>
    </w:rPr>
  </w:style>
  <w:style w:type="paragraph" w:styleId="NormalWeb">
    <w:name w:val="Normal (Web)"/>
    <w:basedOn w:val="Normal"/>
    <w:uiPriority w:val="99"/>
    <w:semiHidden/>
    <w:unhideWhenUsed/>
    <w:rsid w:val="00785960"/>
    <w:pPr>
      <w:spacing w:before="100" w:beforeAutospacing="1" w:after="100" w:afterAutospacing="1"/>
    </w:pPr>
  </w:style>
  <w:style w:type="paragraph" w:styleId="BalloonText">
    <w:name w:val="Balloon Text"/>
    <w:basedOn w:val="Normal"/>
    <w:link w:val="BalloonTextChar"/>
    <w:uiPriority w:val="99"/>
    <w:semiHidden/>
    <w:unhideWhenUsed/>
    <w:rsid w:val="00785960"/>
    <w:rPr>
      <w:rFonts w:ascii="Tahoma" w:hAnsi="Tahoma" w:cs="Tahoma"/>
      <w:sz w:val="16"/>
      <w:szCs w:val="16"/>
    </w:rPr>
  </w:style>
  <w:style w:type="character" w:customStyle="1" w:styleId="BalloonTextChar">
    <w:name w:val="Balloon Text Char"/>
    <w:basedOn w:val="DefaultParagraphFont"/>
    <w:link w:val="BalloonText"/>
    <w:uiPriority w:val="99"/>
    <w:semiHidden/>
    <w:rsid w:val="00785960"/>
    <w:rPr>
      <w:rFonts w:ascii="Tahoma" w:hAnsi="Tahoma" w:cs="Tahoma"/>
      <w:sz w:val="16"/>
      <w:szCs w:val="16"/>
    </w:rPr>
  </w:style>
  <w:style w:type="paragraph" w:styleId="NoSpacing">
    <w:name w:val="No Spacing"/>
    <w:uiPriority w:val="1"/>
    <w:qFormat/>
    <w:rsid w:val="00785960"/>
    <w:pPr>
      <w:spacing w:after="0" w:line="240" w:lineRule="auto"/>
    </w:pPr>
    <w:rPr>
      <w:rFonts w:ascii="Calibri" w:hAnsi="Calibri" w:cs="Calibri"/>
    </w:rPr>
  </w:style>
</w:styles>
</file>

<file path=word/webSettings.xml><?xml version="1.0" encoding="utf-8"?>
<w:webSettings xmlns:r="http://schemas.openxmlformats.org/officeDocument/2006/relationships" xmlns:w="http://schemas.openxmlformats.org/wordprocessingml/2006/main">
  <w:divs>
    <w:div w:id="99300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sa.gov/OP_Home/ssact/title19/1915.htm" TargetMode="External"/><Relationship Id="rId13" Type="http://schemas.openxmlformats.org/officeDocument/2006/relationships/hyperlink" Target="http://www.justice.gov/opa/pr/2012/February/12-" TargetMode="External"/><Relationship Id="rId18" Type="http://schemas.openxmlformats.org/officeDocument/2006/relationships/hyperlink" Target="http://www.namfcu.net/resources/medicaid-fraud-reports-newsletters/2010-" TargetMode="External"/><Relationship Id="rId3" Type="http://schemas.openxmlformats.org/officeDocument/2006/relationships/settings" Target="settings.xml"/><Relationship Id="rId21" Type="http://schemas.openxmlformats.org/officeDocument/2006/relationships/hyperlink" Target="https://oig.hhs.gov/fraud/hotline/" TargetMode="External"/><Relationship Id="rId7" Type="http://schemas.openxmlformats.org/officeDocument/2006/relationships/hyperlink" Target="http://www.socialsecurity.gov/OP_Home/ssact/title19/1902.htm" TargetMode="External"/><Relationship Id="rId12" Type="http://schemas.openxmlformats.org/officeDocument/2006/relationships/hyperlink" Target="http://www.ecfr.gov/cgi-bin/retrieveECFR?gp=1&amp;SID=b44b980140f072ed701a782d89fddcf6&amp;ty=HTML&amp;h=L&amp;" TargetMode="External"/><Relationship Id="rId17" Type="http://schemas.openxmlformats.org/officeDocument/2006/relationships/hyperlink" Target="http://www.sos.ne.gov/rules-and-regs/regsearch/Rules/Health_and_Human_Services_System/" TargetMode="External"/><Relationship Id="rId2" Type="http://schemas.openxmlformats.org/officeDocument/2006/relationships/styles" Target="styles.xml"/><Relationship Id="rId16" Type="http://schemas.openxmlformats.org/officeDocument/2006/relationships/hyperlink" Target="http://www.gpo.gov/fdsys/pkg/CFR-2010-title42-vol4/pdf/CFR-2010-title42-vol4-sec440-70.pdf" TargetMode="External"/><Relationship Id="rId20" Type="http://schemas.openxmlformats.org/officeDocument/2006/relationships/hyperlink" Target="http://www.namfcu.net/resources/medicaid-fraud-reports-" TargetMode="External"/><Relationship Id="rId1" Type="http://schemas.openxmlformats.org/officeDocument/2006/relationships/numbering" Target="numbering.xml"/><Relationship Id="rId6" Type="http://schemas.openxmlformats.org/officeDocument/2006/relationships/hyperlink" Target="http://www.gao.gov/assets/130/125646.pdf" TargetMode="External"/><Relationship Id="rId11" Type="http://schemas.openxmlformats.org/officeDocument/2006/relationships/hyperlink" Target="http://www.ssa.gov/OP_Home/ssact/title19/1902.htm" TargetMode="External"/><Relationship Id="rId5" Type="http://schemas.openxmlformats.org/officeDocument/2006/relationships/hyperlink" Target="http://www.hhs.gov/news/press/2009pres/05/20090520a.html" TargetMode="External"/><Relationship Id="rId15" Type="http://schemas.openxmlformats.org/officeDocument/2006/relationships/hyperlink" Target="http://www.justice.gov/opa/pr/2012/" TargetMode="External"/><Relationship Id="rId23" Type="http://schemas.openxmlformats.org/officeDocument/2006/relationships/theme" Target="theme/theme1.xml"/><Relationship Id="rId10" Type="http://schemas.openxmlformats.org/officeDocument/2006/relationships/hyperlink" Target="http://www.ecfr.gov/cgi-bin/retrieveECFR?gp=1&amp;SID=b44b980140f072ed701a782d89fddcf6&amp;ty=HTML&amp;h=L&amp;r" TargetMode="External"/><Relationship Id="rId19" Type="http://schemas.openxmlformats.org/officeDocument/2006/relationships/hyperlink" Target="http://www.namfcu.net/resources/medicaid-fraud-reports-newsletters/2009-" TargetMode="External"/><Relationship Id="rId4" Type="http://schemas.openxmlformats.org/officeDocument/2006/relationships/webSettings" Target="webSettings.xml"/><Relationship Id="rId9" Type="http://schemas.openxmlformats.org/officeDocument/2006/relationships/hyperlink" Target="http://www.ecfr.gov/cgi-bin/retrieveECFR?gp=1&amp;SID=b44b980140f072ed701a782d89fddcf6" TargetMode="External"/><Relationship Id="rId14" Type="http://schemas.openxmlformats.org/officeDocument/2006/relationships/hyperlink" Target="http://www.justice.gov/usao/cac/Pressroom/2012/008.htm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1095</Words>
  <Characters>6246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Skip</dc:creator>
  <cp:lastModifiedBy>Skip</cp:lastModifiedBy>
  <cp:revision>1</cp:revision>
  <cp:lastPrinted>2018-01-23T16:00:00Z</cp:lastPrinted>
  <dcterms:created xsi:type="dcterms:W3CDTF">2018-01-23T15:48:00Z</dcterms:created>
  <dcterms:modified xsi:type="dcterms:W3CDTF">2018-01-23T16:01:00Z</dcterms:modified>
</cp:coreProperties>
</file>